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Kylee Leingang, Shaylynn Mack, Kat Jackson, McKenna Walsh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Grade: 3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Unit Topic: The Ocean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Course/Discipline: Math, Science, Social Studies, Writing, Reading, and Art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Approximate Time Required: 2 Weeks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Main Purpose of the Unit Study: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Reading: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RL.3 Describe characters in a story (e.g., their traits, motivations, or feelings) and explain how their actions contribute to the sequence of events.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Writing: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3.W.2 Write informative/explanatory texts to examine a topic and convey ideas and information clearly.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Develop the topic with facts, definitions, and details.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Math: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3.MD.2 Measure and estimate liquid volumes and masses of objects using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standard units of grams (g), kilograms (kg), and liters (l). Add, subtract,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multiply, or divide to solve one-step word problems involving masses or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volumes that are given in the same units, e.g., by using drawings (such as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 beaker with a measurement scale) to represent the problem.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3.MD.4 Generate measurement data by measuring lengths using rulers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marked with halves and fourths of an inch. Show the data by making a line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plot, where the horizontal scale is marked off in appropriate units—whole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numbers, halves, or quarters.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Science: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3.4.3 Identify the needs of living things (e.g., food, shelter, soil, space,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water).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Art: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4.2.3 Use visual art structures and functions of works of art to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communicate ideas.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Social Studies: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3.1.3 Use a variety of resources (e.g. maps, charts, bar graphs, internet,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books) to gather information about people, places, and events.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Performance Objectives: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student will be able to: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Reading - describe the feelings of various characters in Rainbow Fish by Marcus Pfister.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Writing - create their own “Who Will Win?” book including facts, definitions and details of the animal they chose.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Math - measure the volume of an aquarium based on the measurements of an aquarium they have designed.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Math - use a ruler to measure the dimensions of an aquarium they have designed.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Science - identify the habitats and living conditions for marine life.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Art - artistically create and design an aquarium including at least 3 types of marine life.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Social Studies - use a variety of resources to compare and contrast two oceans.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Activities: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Reading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Read aloud Rainbow Fish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Character graphic organizer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Ocean books available for students to read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Writing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Research/Select a marine life animal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Write 4-5 Sentences about their animal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Compare with 3-4 students to see “Who Will Win”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Math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Teach length/width/height using a ruler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Teach volume based on their understanding of length/width/height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Science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Research a marine life animal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Use a graphic organizer for habitat and living conditions for marine life animal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Art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Show the different techniques used for painting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Paint aquarium and marine life animals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Social Studies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Create a Venn Diagram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144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Discuss the different oceans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Assessment: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Reading - informal formative assessment observe students’ understanding during whole group graphic organizer discussion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Writing - students will create a “Who Will Win” book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Math - measure the volume using length width and height of their aquarium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Science - turn in graphic organizer for their chosen marine life animal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Art - turn in their artistically designed aquarium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480" w:lineRule="auto"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Social Studies - informal formative assessment observing students’ understanding during Venn Diagram discussion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